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Look w:val="04A0" w:firstRow="1" w:lastRow="0" w:firstColumn="1" w:lastColumn="0" w:noHBand="0" w:noVBand="1"/>
      </w:tblPr>
      <w:tblGrid>
        <w:gridCol w:w="4535"/>
        <w:gridCol w:w="284"/>
        <w:gridCol w:w="4535"/>
      </w:tblGrid>
      <w:tr w:rsidR="003C4DB2" w:rsidTr="00B67CE9">
        <w:tc>
          <w:tcPr>
            <w:tcW w:w="4535" w:type="dxa"/>
          </w:tcPr>
          <w:p w:rsidR="003C4DB2" w:rsidRPr="00F96F01" w:rsidRDefault="003C4DB2" w:rsidP="00E4480D">
            <w:pPr>
              <w:pStyle w:val="berschrift1"/>
              <w:tabs>
                <w:tab w:val="center" w:pos="4536"/>
                <w:tab w:val="left" w:pos="7440"/>
              </w:tabs>
              <w:spacing w:line="36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F96F01">
              <w:rPr>
                <w:sz w:val="22"/>
                <w:szCs w:val="22"/>
              </w:rPr>
              <w:t>G e s e l l s c h a f t s v e r t r a g</w:t>
            </w:r>
          </w:p>
        </w:tc>
        <w:tc>
          <w:tcPr>
            <w:tcW w:w="284" w:type="dxa"/>
          </w:tcPr>
          <w:p w:rsidR="003C4DB2" w:rsidRPr="00F96F01" w:rsidRDefault="003C4DB2" w:rsidP="00F96F01">
            <w:pPr>
              <w:pStyle w:val="berschrift1"/>
              <w:tabs>
                <w:tab w:val="center" w:pos="4536"/>
                <w:tab w:val="left" w:pos="744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:rsidR="003C4DB2" w:rsidRPr="00F96F01" w:rsidRDefault="003C4DB2" w:rsidP="00E4480D">
            <w:pPr>
              <w:pStyle w:val="berschrift1"/>
              <w:tabs>
                <w:tab w:val="center" w:pos="4536"/>
                <w:tab w:val="left" w:pos="74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96F01">
              <w:rPr>
                <w:sz w:val="22"/>
                <w:szCs w:val="22"/>
              </w:rPr>
              <w:t xml:space="preserve">A r t i c l e s  </w:t>
            </w:r>
            <w:r w:rsidR="00F96F01" w:rsidRPr="00F96F01">
              <w:rPr>
                <w:sz w:val="22"/>
                <w:szCs w:val="22"/>
              </w:rPr>
              <w:t xml:space="preserve"> </w:t>
            </w:r>
            <w:r w:rsidRPr="00F96F01">
              <w:rPr>
                <w:sz w:val="22"/>
                <w:szCs w:val="22"/>
              </w:rPr>
              <w:t xml:space="preserve">o f  </w:t>
            </w:r>
            <w:r w:rsidR="00F96F01" w:rsidRPr="00F96F01">
              <w:rPr>
                <w:sz w:val="22"/>
                <w:szCs w:val="22"/>
              </w:rPr>
              <w:t xml:space="preserve"> </w:t>
            </w:r>
            <w:r w:rsidRPr="00F96F01">
              <w:rPr>
                <w:sz w:val="22"/>
                <w:szCs w:val="22"/>
              </w:rPr>
              <w:t>A s s o c i a t i o n</w:t>
            </w:r>
            <w:r w:rsidRPr="00F96F01">
              <w:rPr>
                <w:spacing w:val="28"/>
                <w:sz w:val="22"/>
                <w:szCs w:val="22"/>
                <w:lang w:val="en-GB"/>
              </w:rPr>
              <w:t xml:space="preserve"> </w:t>
            </w: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F96F01">
              <w:rPr>
                <w:rFonts w:cs="Arial"/>
                <w:b/>
                <w:bCs/>
                <w:szCs w:val="22"/>
              </w:rPr>
              <w:t>§ 1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F96F01">
              <w:rPr>
                <w:rFonts w:cs="Arial"/>
                <w:b/>
                <w:szCs w:val="22"/>
                <w:lang w:val="en-GB"/>
              </w:rPr>
              <w:t>§ 1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2"/>
              </w:numPr>
              <w:tabs>
                <w:tab w:val="clear" w:pos="644"/>
              </w:tabs>
              <w:spacing w:line="360" w:lineRule="auto"/>
              <w:ind w:left="284" w:hanging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Die</w:t>
            </w:r>
            <w:r w:rsidR="00532AD9">
              <w:rPr>
                <w:rFonts w:cs="Arial"/>
                <w:szCs w:val="22"/>
              </w:rPr>
              <w:t xml:space="preserve"> Firma der Gesellschaft lautet:</w:t>
            </w:r>
          </w:p>
          <w:p w:rsidR="003C4DB2" w:rsidRPr="00F96F01" w:rsidRDefault="003C4DB2" w:rsidP="003C4DB2">
            <w:pPr>
              <w:spacing w:line="360" w:lineRule="auto"/>
              <w:ind w:left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Kronen *** GmbH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ind w:left="284"/>
              <w:rPr>
                <w:rFonts w:cs="Arial"/>
                <w:szCs w:val="22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5"/>
              </w:numPr>
              <w:tabs>
                <w:tab w:val="clear" w:pos="644"/>
              </w:tabs>
              <w:spacing w:line="360" w:lineRule="auto"/>
              <w:ind w:left="356" w:hanging="356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</w:rPr>
              <w:t>The</w:t>
            </w:r>
            <w:r w:rsidR="00532AD9">
              <w:rPr>
                <w:rFonts w:cs="Arial"/>
                <w:szCs w:val="22"/>
                <w:lang w:val="en-GB"/>
              </w:rPr>
              <w:t xml:space="preserve"> name</w:t>
            </w:r>
            <w:r w:rsidR="009B2044">
              <w:rPr>
                <w:rFonts w:cs="Arial"/>
                <w:szCs w:val="22"/>
                <w:lang w:val="en-GB"/>
              </w:rPr>
              <w:t xml:space="preserve"> of the company</w:t>
            </w:r>
            <w:r w:rsidR="00532AD9">
              <w:rPr>
                <w:rFonts w:cs="Arial"/>
                <w:szCs w:val="22"/>
                <w:lang w:val="en-GB"/>
              </w:rPr>
              <w:t xml:space="preserve"> is:</w:t>
            </w:r>
          </w:p>
          <w:p w:rsidR="003C4DB2" w:rsidRPr="00F96F01" w:rsidRDefault="003C4DB2" w:rsidP="003C4DB2">
            <w:pPr>
              <w:spacing w:line="360" w:lineRule="auto"/>
              <w:ind w:left="356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>Kronen *** GmbH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5"/>
              </w:numPr>
              <w:tabs>
                <w:tab w:val="clear" w:pos="644"/>
              </w:tabs>
              <w:spacing w:line="360" w:lineRule="auto"/>
              <w:ind w:left="284" w:hanging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Sitz der Gesellschaft ist ***.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ind w:left="284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2"/>
              </w:numPr>
              <w:tabs>
                <w:tab w:val="clear" w:pos="644"/>
              </w:tabs>
              <w:spacing w:line="360" w:lineRule="auto"/>
              <w:ind w:left="356" w:hanging="356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>The registered office</w:t>
            </w:r>
            <w:r w:rsidR="009B2044">
              <w:rPr>
                <w:rFonts w:cs="Arial"/>
                <w:szCs w:val="22"/>
                <w:lang w:val="en-GB"/>
              </w:rPr>
              <w:t xml:space="preserve"> of the company</w:t>
            </w:r>
            <w:r w:rsidRPr="00F96F01">
              <w:rPr>
                <w:rFonts w:cs="Arial"/>
                <w:szCs w:val="22"/>
                <w:lang w:val="en-GB"/>
              </w:rPr>
              <w:t xml:space="preserve"> is in ***.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F96F01">
              <w:rPr>
                <w:rFonts w:cs="Arial"/>
                <w:b/>
                <w:bCs/>
                <w:szCs w:val="22"/>
              </w:rPr>
              <w:t>§ 2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F96F01">
              <w:rPr>
                <w:rFonts w:cs="Arial"/>
                <w:b/>
                <w:szCs w:val="22"/>
                <w:lang w:val="en-GB"/>
              </w:rPr>
              <w:t>§ 2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Gegenst</w:t>
            </w:r>
            <w:r w:rsidR="00532AD9">
              <w:rPr>
                <w:rFonts w:cs="Arial"/>
                <w:szCs w:val="22"/>
              </w:rPr>
              <w:t>and des Unternehmens ist die Ver</w:t>
            </w:r>
            <w:r w:rsidRPr="00F96F01">
              <w:rPr>
                <w:rFonts w:cs="Arial"/>
                <w:szCs w:val="22"/>
              </w:rPr>
              <w:t>waltung eigenen Vermögens.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810B72" w:rsidRPr="00810B72" w:rsidRDefault="00810B72" w:rsidP="00810B7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810B72">
              <w:rPr>
                <w:rFonts w:cs="Arial"/>
                <w:szCs w:val="22"/>
                <w:lang w:val="en-GB"/>
              </w:rPr>
              <w:t>The object of the company is th</w:t>
            </w:r>
            <w:r>
              <w:rPr>
                <w:rFonts w:cs="Arial"/>
                <w:szCs w:val="22"/>
                <w:lang w:val="en-GB"/>
              </w:rPr>
              <w:t>e management of its own assets.</w:t>
            </w:r>
          </w:p>
          <w:p w:rsidR="003C4DB2" w:rsidRPr="00F96F01" w:rsidRDefault="003C4DB2" w:rsidP="00810B7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F96F01" w:rsidRPr="00DA163C" w:rsidTr="00B67CE9">
        <w:tc>
          <w:tcPr>
            <w:tcW w:w="4535" w:type="dxa"/>
          </w:tcPr>
          <w:p w:rsidR="00532AD9" w:rsidRPr="00532AD9" w:rsidRDefault="00532AD9" w:rsidP="00532AD9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532AD9">
              <w:rPr>
                <w:rFonts w:cs="Arial"/>
                <w:szCs w:val="22"/>
              </w:rPr>
              <w:t>Die Gesellschaft kann sich als persönlich haftend</w:t>
            </w:r>
            <w:r>
              <w:rPr>
                <w:rFonts w:cs="Arial"/>
                <w:szCs w:val="22"/>
              </w:rPr>
              <w:t>e Gesellschafterin an Kommandit</w:t>
            </w:r>
            <w:r w:rsidRPr="00532AD9">
              <w:rPr>
                <w:rFonts w:cs="Arial"/>
                <w:szCs w:val="22"/>
              </w:rPr>
              <w:t>gesell</w:t>
            </w:r>
            <w:r>
              <w:rPr>
                <w:rFonts w:cs="Arial"/>
                <w:szCs w:val="22"/>
              </w:rPr>
              <w:t>schaften beteiligen und deren Ge</w:t>
            </w:r>
            <w:r w:rsidRPr="00532AD9">
              <w:rPr>
                <w:rFonts w:cs="Arial"/>
                <w:szCs w:val="22"/>
              </w:rPr>
              <w:t>schäftsführung übernehmen.</w:t>
            </w:r>
          </w:p>
          <w:p w:rsidR="00F96F01" w:rsidRPr="00F96F01" w:rsidRDefault="00F96F01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F96F01" w:rsidRPr="00F96F01" w:rsidRDefault="00F96F01" w:rsidP="00F96F01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F15339" w:rsidRPr="00F15339" w:rsidRDefault="00810B7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F15339">
              <w:rPr>
                <w:rFonts w:cs="Arial"/>
                <w:szCs w:val="22"/>
                <w:lang w:val="en-GB"/>
              </w:rPr>
              <w:t xml:space="preserve">The company may participate as a </w:t>
            </w:r>
            <w:r w:rsidR="00D87AD2">
              <w:rPr>
                <w:rFonts w:cs="Arial"/>
                <w:szCs w:val="22"/>
                <w:lang w:val="en-GB"/>
              </w:rPr>
              <w:t>general</w:t>
            </w:r>
            <w:r w:rsidRPr="00F15339">
              <w:rPr>
                <w:rFonts w:cs="Arial"/>
                <w:szCs w:val="22"/>
                <w:lang w:val="en-GB"/>
              </w:rPr>
              <w:t xml:space="preserve"> partner in limited partnerships</w:t>
            </w:r>
            <w:r w:rsidR="00F15339" w:rsidRPr="00F15339">
              <w:rPr>
                <w:rFonts w:cs="Arial"/>
                <w:szCs w:val="22"/>
                <w:lang w:val="en-GB"/>
              </w:rPr>
              <w:t xml:space="preserve"> </w:t>
            </w:r>
            <w:r w:rsidR="00F15339" w:rsidRPr="00F15339">
              <w:rPr>
                <w:lang w:val="en-GB"/>
              </w:rPr>
              <w:t>(</w:t>
            </w:r>
            <w:r w:rsidR="00F15339" w:rsidRPr="00D400D7">
              <w:rPr>
                <w:i/>
                <w:lang w:val="en-GB"/>
              </w:rPr>
              <w:t>Kommanditgesellschaften</w:t>
            </w:r>
            <w:r w:rsidR="00F15339">
              <w:rPr>
                <w:lang w:val="en-GB"/>
              </w:rPr>
              <w:t xml:space="preserve"> –</w:t>
            </w:r>
            <w:r w:rsidR="00F15339" w:rsidRPr="00D400D7">
              <w:rPr>
                <w:lang w:val="en-GB"/>
              </w:rPr>
              <w:t xml:space="preserve"> </w:t>
            </w:r>
            <w:r w:rsidR="00F15339" w:rsidRPr="00F15339">
              <w:rPr>
                <w:lang w:val="en-GB"/>
              </w:rPr>
              <w:t>KGs</w:t>
            </w:r>
            <w:r w:rsidR="00F15339" w:rsidRPr="00D400D7">
              <w:rPr>
                <w:lang w:val="en-GB"/>
              </w:rPr>
              <w:t>)</w:t>
            </w:r>
            <w:r w:rsidRPr="00F15339">
              <w:rPr>
                <w:rFonts w:cs="Arial"/>
                <w:szCs w:val="22"/>
                <w:lang w:val="en-GB"/>
              </w:rPr>
              <w:t xml:space="preserve"> and take over their management</w:t>
            </w:r>
            <w:r w:rsidR="00F15339" w:rsidRPr="00F15339">
              <w:rPr>
                <w:rFonts w:cs="Arial"/>
                <w:szCs w:val="22"/>
                <w:lang w:val="en-GB"/>
              </w:rPr>
              <w:t>.</w:t>
            </w:r>
          </w:p>
          <w:p w:rsidR="00810B72" w:rsidRPr="00D400D7" w:rsidRDefault="00810B72" w:rsidP="00D400D7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F96F01">
              <w:rPr>
                <w:rFonts w:cs="Arial"/>
                <w:b/>
                <w:bCs/>
                <w:szCs w:val="22"/>
              </w:rPr>
              <w:t>§ 3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F96F01">
              <w:rPr>
                <w:rFonts w:cs="Arial"/>
                <w:b/>
                <w:szCs w:val="22"/>
                <w:lang w:val="en-GB"/>
              </w:rPr>
              <w:t>§ 3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Das Geschäftsjahr ist das Kalenderjahr.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>The financial year is the calendar year.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F96F01">
              <w:rPr>
                <w:rFonts w:cs="Arial"/>
                <w:b/>
                <w:bCs/>
                <w:szCs w:val="22"/>
              </w:rPr>
              <w:t>§ 4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F96F01">
              <w:rPr>
                <w:rFonts w:cs="Arial"/>
                <w:b/>
                <w:szCs w:val="22"/>
                <w:lang w:val="en-GB"/>
              </w:rPr>
              <w:t>§ 4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Die Dauer der Gesellschaft ist unbestimmt.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 xml:space="preserve">The </w:t>
            </w:r>
            <w:r w:rsidR="009B2044">
              <w:rPr>
                <w:rFonts w:cs="Arial"/>
                <w:szCs w:val="22"/>
                <w:lang w:val="en-GB"/>
              </w:rPr>
              <w:t xml:space="preserve">duration of the </w:t>
            </w:r>
            <w:r w:rsidRPr="00F96F01">
              <w:rPr>
                <w:rFonts w:cs="Arial"/>
                <w:szCs w:val="22"/>
                <w:lang w:val="en-GB"/>
              </w:rPr>
              <w:t xml:space="preserve">company </w:t>
            </w:r>
            <w:r w:rsidR="009B2044">
              <w:rPr>
                <w:rFonts w:cs="Arial"/>
                <w:szCs w:val="22"/>
                <w:lang w:val="en-GB"/>
              </w:rPr>
              <w:t xml:space="preserve">is </w:t>
            </w:r>
            <w:r w:rsidRPr="00F96F01">
              <w:rPr>
                <w:rFonts w:cs="Arial"/>
                <w:szCs w:val="22"/>
                <w:lang w:val="en-GB"/>
              </w:rPr>
              <w:t>indefinite.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F96F01">
              <w:rPr>
                <w:rFonts w:cs="Arial"/>
                <w:b/>
                <w:bCs/>
                <w:szCs w:val="22"/>
              </w:rPr>
              <w:t>§ 5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F96F01">
              <w:rPr>
                <w:rFonts w:cs="Arial"/>
                <w:b/>
                <w:szCs w:val="22"/>
                <w:lang w:val="en-GB"/>
              </w:rPr>
              <w:t>§ 5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6"/>
              </w:numPr>
              <w:tabs>
                <w:tab w:val="clear" w:pos="644"/>
              </w:tabs>
              <w:spacing w:line="360" w:lineRule="auto"/>
              <w:ind w:left="284" w:hanging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 xml:space="preserve">Das </w:t>
            </w:r>
            <w:r w:rsidR="00532AD9">
              <w:rPr>
                <w:rFonts w:cs="Arial"/>
                <w:szCs w:val="22"/>
              </w:rPr>
              <w:t>Stammkapital der Gesellschaft be</w:t>
            </w:r>
            <w:r w:rsidRPr="00F96F01">
              <w:rPr>
                <w:rFonts w:cs="Arial"/>
                <w:szCs w:val="22"/>
              </w:rPr>
              <w:t xml:space="preserve">trägt € </w:t>
            </w:r>
            <w:r w:rsidR="00532AD9">
              <w:rPr>
                <w:rFonts w:cs="Arial"/>
                <w:szCs w:val="22"/>
              </w:rPr>
              <w:t>25.000,00 (in Worten: Euro fünf</w:t>
            </w:r>
            <w:r w:rsidRPr="00F96F01">
              <w:rPr>
                <w:rFonts w:cs="Arial"/>
                <w:szCs w:val="22"/>
              </w:rPr>
              <w:t>undzwanzigtausend).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ind w:left="3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56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>The share capital</w:t>
            </w:r>
            <w:r w:rsidR="009B2044">
              <w:rPr>
                <w:rFonts w:cs="Arial"/>
                <w:szCs w:val="22"/>
                <w:lang w:val="en-GB"/>
              </w:rPr>
              <w:t xml:space="preserve"> of the company</w:t>
            </w:r>
            <w:r w:rsidRPr="00F96F01">
              <w:rPr>
                <w:rFonts w:cs="Arial"/>
                <w:szCs w:val="22"/>
                <w:lang w:val="en-GB"/>
              </w:rPr>
              <w:t xml:space="preserve"> is € 25,000.00 (in words: </w:t>
            </w:r>
            <w:r w:rsidR="00532AD9">
              <w:rPr>
                <w:rFonts w:cs="Arial"/>
                <w:szCs w:val="22"/>
                <w:lang w:val="en-GB"/>
              </w:rPr>
              <w:t>twenty-five thousand euros).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284" w:hanging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 xml:space="preserve">Das Stammkapital ist eingeteilt in 25.000 Geschäftsanteile im Nennbetrag von je </w:t>
            </w:r>
            <w:r w:rsidRPr="00F96F01">
              <w:rPr>
                <w:rFonts w:cs="Arial"/>
                <w:szCs w:val="22"/>
              </w:rPr>
              <w:lastRenderedPageBreak/>
              <w:t>€ 1,00 mit den laufenden Nummern 1 bis 25.000.</w:t>
            </w:r>
          </w:p>
          <w:p w:rsidR="003C4DB2" w:rsidRPr="00F96F01" w:rsidRDefault="003C4DB2" w:rsidP="00CC6F6B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ind w:left="3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356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 xml:space="preserve">The share capital is divided into 25,000 shares with a nominal value of € 1.00 </w:t>
            </w:r>
            <w:r w:rsidRPr="00F96F01">
              <w:rPr>
                <w:rFonts w:cs="Arial"/>
                <w:szCs w:val="22"/>
                <w:lang w:val="en-GB"/>
              </w:rPr>
              <w:lastRenderedPageBreak/>
              <w:t xml:space="preserve">each with </w:t>
            </w:r>
            <w:r w:rsidR="009B2044">
              <w:rPr>
                <w:rFonts w:cs="Arial"/>
                <w:szCs w:val="22"/>
                <w:lang w:val="en-GB"/>
              </w:rPr>
              <w:t xml:space="preserve">the serial </w:t>
            </w:r>
            <w:r w:rsidRPr="00F96F01">
              <w:rPr>
                <w:rFonts w:cs="Arial"/>
                <w:szCs w:val="22"/>
                <w:lang w:val="en-GB"/>
              </w:rPr>
              <w:t>numbers 1 to 25,000.</w:t>
            </w:r>
          </w:p>
          <w:p w:rsidR="003C4DB2" w:rsidRPr="00F96F01" w:rsidRDefault="003C4DB2" w:rsidP="00CC6F6B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84" w:hanging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lastRenderedPageBreak/>
              <w:t>Die DNotV GmbH mit dem Sitz in Berlin übern</w:t>
            </w:r>
            <w:r w:rsidR="00532AD9">
              <w:rPr>
                <w:rFonts w:cs="Arial"/>
                <w:szCs w:val="22"/>
              </w:rPr>
              <w:t>immt auf das Stammkapital sämtli</w:t>
            </w:r>
            <w:r w:rsidRPr="00F96F01">
              <w:rPr>
                <w:rFonts w:cs="Arial"/>
                <w:szCs w:val="22"/>
              </w:rPr>
              <w:t>che 25.000 Geschäftsa</w:t>
            </w:r>
            <w:r w:rsidR="00532AD9">
              <w:rPr>
                <w:rFonts w:cs="Arial"/>
                <w:szCs w:val="22"/>
              </w:rPr>
              <w:t>nteile im Nennbe</w:t>
            </w:r>
            <w:r w:rsidRPr="00F96F01">
              <w:rPr>
                <w:rFonts w:cs="Arial"/>
                <w:szCs w:val="22"/>
              </w:rPr>
              <w:t>trag von je € 1,00 mit den laufenden Nummern 1 bis 25.000.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ind w:left="3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9C456A" w:rsidP="008A7E4E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351" w:hanging="357"/>
              <w:jc w:val="both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The Berlin-based </w:t>
            </w:r>
            <w:r w:rsidR="003C4DB2" w:rsidRPr="00F96F01">
              <w:rPr>
                <w:rFonts w:cs="Arial"/>
                <w:szCs w:val="22"/>
                <w:lang w:val="en-GB"/>
              </w:rPr>
              <w:t>DNotV GmbH</w:t>
            </w:r>
            <w:r w:rsidR="001C5B16" w:rsidRPr="001C5B16">
              <w:rPr>
                <w:rFonts w:cs="Arial"/>
                <w:szCs w:val="22"/>
                <w:lang w:val="en-GB"/>
              </w:rPr>
              <w:t xml:space="preserve"> takes over all 25,000 shares</w:t>
            </w:r>
            <w:r w:rsidR="001C5B16" w:rsidRPr="00F96F01">
              <w:rPr>
                <w:rFonts w:cs="Arial"/>
                <w:szCs w:val="22"/>
                <w:lang w:val="en-GB"/>
              </w:rPr>
              <w:t xml:space="preserve"> with a nominal value of € 1.00 each with </w:t>
            </w:r>
            <w:r w:rsidR="001C5B16">
              <w:rPr>
                <w:rFonts w:cs="Arial"/>
                <w:szCs w:val="22"/>
                <w:lang w:val="en-GB"/>
              </w:rPr>
              <w:t xml:space="preserve">the serial </w:t>
            </w:r>
            <w:r w:rsidR="001C5B16" w:rsidRPr="00F96F01">
              <w:rPr>
                <w:rFonts w:cs="Arial"/>
                <w:szCs w:val="22"/>
                <w:lang w:val="en-GB"/>
              </w:rPr>
              <w:t>numbers 1 to 25,000</w:t>
            </w:r>
            <w:r w:rsidR="003C4DB2" w:rsidRPr="00F96F01">
              <w:rPr>
                <w:rFonts w:cs="Arial"/>
                <w:szCs w:val="22"/>
                <w:lang w:val="en-GB"/>
              </w:rPr>
              <w:t>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284" w:hanging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Die Stammeinlage wird in voller Höhe in Geld erbracht.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ind w:left="3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56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 xml:space="preserve">The share capital contribution </w:t>
            </w:r>
            <w:r w:rsidR="001C5B16">
              <w:rPr>
                <w:rFonts w:cs="Arial"/>
                <w:szCs w:val="22"/>
                <w:lang w:val="en-GB"/>
              </w:rPr>
              <w:t>shall</w:t>
            </w:r>
            <w:r w:rsidR="001C5B16" w:rsidRPr="00F96F01">
              <w:rPr>
                <w:rFonts w:cs="Arial"/>
                <w:szCs w:val="22"/>
                <w:lang w:val="en-GB"/>
              </w:rPr>
              <w:t xml:space="preserve"> </w:t>
            </w:r>
            <w:r w:rsidRPr="00F96F01">
              <w:rPr>
                <w:rFonts w:cs="Arial"/>
                <w:szCs w:val="22"/>
                <w:lang w:val="en-GB"/>
              </w:rPr>
              <w:t>be paid in full in cash.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F96F01">
              <w:rPr>
                <w:rFonts w:cs="Arial"/>
                <w:b/>
                <w:bCs/>
                <w:szCs w:val="22"/>
              </w:rPr>
              <w:t>§ 6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F96F01">
              <w:rPr>
                <w:rFonts w:cs="Arial"/>
                <w:b/>
                <w:szCs w:val="22"/>
                <w:lang w:val="en-GB"/>
              </w:rPr>
              <w:t>§ 6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Default="003C4DB2" w:rsidP="003C4DB2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284" w:hanging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Die Gesellschaft hat einen oder mehrere Geschäftsführer. Ist ein Geschäftsführer vorha</w:t>
            </w:r>
            <w:r w:rsidR="00532AD9">
              <w:rPr>
                <w:rFonts w:cs="Arial"/>
                <w:szCs w:val="22"/>
              </w:rPr>
              <w:t>nden, vertritt dieser die Gesell</w:t>
            </w:r>
            <w:r w:rsidRPr="00F96F01">
              <w:rPr>
                <w:rFonts w:cs="Arial"/>
                <w:szCs w:val="22"/>
              </w:rPr>
              <w:t>schaft</w:t>
            </w:r>
            <w:r w:rsidR="00532AD9">
              <w:rPr>
                <w:rFonts w:cs="Arial"/>
                <w:szCs w:val="22"/>
              </w:rPr>
              <w:t xml:space="preserve"> alleine; sind mehrere Geschäfts</w:t>
            </w:r>
            <w:r w:rsidRPr="00F96F01">
              <w:rPr>
                <w:rFonts w:cs="Arial"/>
                <w:szCs w:val="22"/>
              </w:rPr>
              <w:t>führ</w:t>
            </w:r>
            <w:r w:rsidR="00532AD9">
              <w:rPr>
                <w:rFonts w:cs="Arial"/>
                <w:szCs w:val="22"/>
              </w:rPr>
              <w:t>er vorhanden, so wird die Gesell</w:t>
            </w:r>
            <w:r w:rsidRPr="00F96F01">
              <w:rPr>
                <w:rFonts w:cs="Arial"/>
                <w:szCs w:val="22"/>
              </w:rPr>
              <w:t>schaft durch zwei Geschäftsführer oder durch einen Geschäftsführer zusammen mit einem Prokuristen vertreten.</w:t>
            </w:r>
          </w:p>
          <w:p w:rsidR="00CC6F6B" w:rsidRPr="00F96F01" w:rsidRDefault="00CC6F6B" w:rsidP="00CC6F6B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ind w:left="3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56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 xml:space="preserve">The company has one or </w:t>
            </w:r>
            <w:r w:rsidR="001C5B16">
              <w:rPr>
                <w:rFonts w:cs="Arial"/>
                <w:szCs w:val="22"/>
                <w:lang w:val="en-GB"/>
              </w:rPr>
              <w:t>more</w:t>
            </w:r>
            <w:r w:rsidR="001C5B16" w:rsidRPr="00F96F01">
              <w:rPr>
                <w:rFonts w:cs="Arial"/>
                <w:szCs w:val="22"/>
                <w:lang w:val="en-GB"/>
              </w:rPr>
              <w:t xml:space="preserve"> </w:t>
            </w:r>
            <w:r w:rsidRPr="00F96F01">
              <w:rPr>
                <w:rFonts w:cs="Arial"/>
                <w:szCs w:val="22"/>
                <w:lang w:val="en-GB"/>
              </w:rPr>
              <w:t xml:space="preserve">managing directors </w:t>
            </w:r>
            <w:r w:rsidRPr="001C5B16">
              <w:rPr>
                <w:rFonts w:cs="Arial"/>
                <w:szCs w:val="22"/>
                <w:lang w:val="en-GB"/>
              </w:rPr>
              <w:t>(</w:t>
            </w:r>
            <w:r w:rsidRPr="00F96F01">
              <w:rPr>
                <w:rFonts w:cs="Arial"/>
                <w:i/>
                <w:szCs w:val="22"/>
                <w:lang w:val="en-GB"/>
              </w:rPr>
              <w:t>Geschäftsführer</w:t>
            </w:r>
            <w:r w:rsidRPr="001C5B16">
              <w:rPr>
                <w:rFonts w:cs="Arial"/>
                <w:szCs w:val="22"/>
                <w:lang w:val="en-GB"/>
              </w:rPr>
              <w:t xml:space="preserve">). </w:t>
            </w:r>
            <w:r w:rsidRPr="00F96F01">
              <w:rPr>
                <w:rFonts w:cs="Arial"/>
                <w:bCs/>
                <w:szCs w:val="22"/>
                <w:lang w:val="en-US"/>
              </w:rPr>
              <w:t xml:space="preserve">If </w:t>
            </w:r>
            <w:r w:rsidR="001C5B16">
              <w:rPr>
                <w:rFonts w:cs="Arial"/>
                <w:bCs/>
                <w:szCs w:val="22"/>
                <w:lang w:val="en-US"/>
              </w:rPr>
              <w:t>there is</w:t>
            </w:r>
            <w:r w:rsidRPr="00F96F01">
              <w:rPr>
                <w:rFonts w:cs="Arial"/>
                <w:bCs/>
                <w:szCs w:val="22"/>
                <w:lang w:val="en-US"/>
              </w:rPr>
              <w:t xml:space="preserve"> one managing director, </w:t>
            </w:r>
            <w:r w:rsidR="001C5B16">
              <w:rPr>
                <w:rFonts w:cs="Arial"/>
                <w:bCs/>
                <w:szCs w:val="22"/>
                <w:lang w:val="en-US"/>
              </w:rPr>
              <w:t>he shall</w:t>
            </w:r>
            <w:r w:rsidRPr="00F96F01">
              <w:rPr>
                <w:rFonts w:cs="Arial"/>
                <w:bCs/>
                <w:szCs w:val="22"/>
                <w:lang w:val="en-US"/>
              </w:rPr>
              <w:t xml:space="preserve"> represent the company alone; if </w:t>
            </w:r>
            <w:r w:rsidR="001C5B16">
              <w:rPr>
                <w:rFonts w:cs="Arial"/>
                <w:bCs/>
                <w:szCs w:val="22"/>
                <w:lang w:val="en-US"/>
              </w:rPr>
              <w:t>there are</w:t>
            </w:r>
            <w:r w:rsidRPr="00F96F01">
              <w:rPr>
                <w:rFonts w:cs="Arial"/>
                <w:bCs/>
                <w:szCs w:val="22"/>
                <w:lang w:val="en-US"/>
              </w:rPr>
              <w:t xml:space="preserve"> several managing directors, </w:t>
            </w:r>
            <w:r w:rsidR="001C5B16">
              <w:rPr>
                <w:rFonts w:cs="Arial"/>
                <w:bCs/>
                <w:szCs w:val="22"/>
                <w:lang w:val="en-US"/>
              </w:rPr>
              <w:t>the company shall be</w:t>
            </w:r>
            <w:r w:rsidRPr="00F96F01">
              <w:rPr>
                <w:rFonts w:cs="Arial"/>
                <w:bCs/>
                <w:szCs w:val="22"/>
                <w:lang w:val="en-US"/>
              </w:rPr>
              <w:t xml:space="preserve"> represented by two managing directors or by one managing director together with an authorized </w:t>
            </w:r>
            <w:r w:rsidR="001C5B16">
              <w:rPr>
                <w:rFonts w:cs="Arial"/>
                <w:bCs/>
                <w:szCs w:val="22"/>
                <w:lang w:val="en-US"/>
              </w:rPr>
              <w:t>signatory</w:t>
            </w:r>
            <w:r w:rsidR="001C5B16" w:rsidRPr="00F96F01">
              <w:rPr>
                <w:rFonts w:cs="Arial"/>
                <w:bCs/>
                <w:szCs w:val="22"/>
                <w:lang w:val="en-US"/>
              </w:rPr>
              <w:t xml:space="preserve"> </w:t>
            </w:r>
            <w:r w:rsidRPr="00F96F01">
              <w:rPr>
                <w:rFonts w:cs="Arial"/>
                <w:bCs/>
                <w:szCs w:val="22"/>
                <w:lang w:val="en-US"/>
              </w:rPr>
              <w:t>(</w:t>
            </w:r>
            <w:r w:rsidRPr="00F96F01">
              <w:rPr>
                <w:rFonts w:cs="Arial"/>
                <w:bCs/>
                <w:i/>
                <w:szCs w:val="22"/>
                <w:lang w:val="en-US"/>
              </w:rPr>
              <w:t>Prokurist</w:t>
            </w:r>
            <w:r w:rsidRPr="00F96F01">
              <w:rPr>
                <w:rFonts w:cs="Arial"/>
                <w:bCs/>
                <w:szCs w:val="22"/>
                <w:lang w:val="en-US"/>
              </w:rPr>
              <w:t>).</w:t>
            </w:r>
          </w:p>
          <w:p w:rsidR="003C4DB2" w:rsidRPr="00F96F01" w:rsidRDefault="003C4DB2" w:rsidP="00CC6F6B">
            <w:pPr>
              <w:spacing w:line="360" w:lineRule="auto"/>
              <w:ind w:left="-4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284" w:hanging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Die Gesellschafterversammlung kann einzelnen Geschäftsführern das Recht zur Einz</w:t>
            </w:r>
            <w:r w:rsidR="00532AD9">
              <w:rPr>
                <w:rFonts w:cs="Arial"/>
                <w:szCs w:val="22"/>
              </w:rPr>
              <w:t>elvertretung der Gesellschaft er</w:t>
            </w:r>
            <w:r w:rsidRPr="00F96F01">
              <w:rPr>
                <w:rFonts w:cs="Arial"/>
                <w:szCs w:val="22"/>
              </w:rPr>
              <w:t>teilen. In gleicher Weise können alle oder einzelne Geschäf</w:t>
            </w:r>
            <w:r w:rsidR="00532AD9">
              <w:rPr>
                <w:rFonts w:cs="Arial"/>
                <w:szCs w:val="22"/>
              </w:rPr>
              <w:t>tsführer von den Be</w:t>
            </w:r>
            <w:r w:rsidRPr="00F96F01">
              <w:rPr>
                <w:rFonts w:cs="Arial"/>
                <w:szCs w:val="22"/>
              </w:rPr>
              <w:t>schränkunge</w:t>
            </w:r>
            <w:r w:rsidR="00F96F01">
              <w:rPr>
                <w:rFonts w:cs="Arial"/>
                <w:szCs w:val="22"/>
              </w:rPr>
              <w:t>n des § 181 BGB befreit werden.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ind w:left="3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8A7E4E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351" w:hanging="357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 xml:space="preserve">The shareholders' meeting may </w:t>
            </w:r>
            <w:r w:rsidR="002A6A92">
              <w:rPr>
                <w:rFonts w:cs="Arial"/>
                <w:szCs w:val="22"/>
                <w:lang w:val="en-GB"/>
              </w:rPr>
              <w:t>authorise</w:t>
            </w:r>
            <w:r w:rsidRPr="00F96F01">
              <w:rPr>
                <w:rFonts w:cs="Arial"/>
                <w:szCs w:val="22"/>
                <w:lang w:val="en-GB"/>
              </w:rPr>
              <w:t xml:space="preserve"> individual managing directors</w:t>
            </w:r>
            <w:r w:rsidR="002A6A92">
              <w:rPr>
                <w:rFonts w:cs="Arial"/>
                <w:szCs w:val="22"/>
                <w:lang w:val="en-GB"/>
              </w:rPr>
              <w:t xml:space="preserve"> </w:t>
            </w:r>
            <w:r w:rsidR="002A6A92" w:rsidRPr="002A6A92">
              <w:rPr>
                <w:rFonts w:cs="Arial"/>
                <w:szCs w:val="22"/>
                <w:lang w:val="en-GB"/>
              </w:rPr>
              <w:t>to represent the company individually</w:t>
            </w:r>
            <w:r w:rsidRPr="00F96F01">
              <w:rPr>
                <w:rFonts w:cs="Arial"/>
                <w:szCs w:val="22"/>
                <w:lang w:val="en-GB"/>
              </w:rPr>
              <w:t xml:space="preserve">. </w:t>
            </w:r>
            <w:r w:rsidR="002A6A92" w:rsidRPr="002A6A92">
              <w:rPr>
                <w:rFonts w:cs="Arial"/>
                <w:szCs w:val="22"/>
                <w:lang w:val="en-GB"/>
              </w:rPr>
              <w:t>In the same way,</w:t>
            </w:r>
            <w:r w:rsidRPr="00F96F01">
              <w:rPr>
                <w:rFonts w:cs="Arial"/>
                <w:szCs w:val="22"/>
                <w:lang w:val="en-GB"/>
              </w:rPr>
              <w:t xml:space="preserve"> all or individual managing directors</w:t>
            </w:r>
            <w:r w:rsidR="002A6A92">
              <w:rPr>
                <w:rFonts w:cs="Arial"/>
                <w:szCs w:val="22"/>
                <w:lang w:val="en-GB"/>
              </w:rPr>
              <w:t xml:space="preserve"> </w:t>
            </w:r>
            <w:r w:rsidR="002A6A92" w:rsidRPr="002A6A92">
              <w:rPr>
                <w:rFonts w:cs="Arial"/>
                <w:szCs w:val="22"/>
                <w:lang w:val="en-GB"/>
              </w:rPr>
              <w:t xml:space="preserve">may be </w:t>
            </w:r>
            <w:r w:rsidR="002A6A92">
              <w:rPr>
                <w:rFonts w:cs="Arial"/>
                <w:szCs w:val="22"/>
                <w:lang w:val="en-GB"/>
              </w:rPr>
              <w:t>exempted</w:t>
            </w:r>
            <w:r w:rsidRPr="00F96F01">
              <w:rPr>
                <w:rFonts w:cs="Arial"/>
                <w:szCs w:val="22"/>
                <w:lang w:val="en-GB"/>
              </w:rPr>
              <w:t xml:space="preserve"> from the restrictions of </w:t>
            </w:r>
            <w:r w:rsidR="002A6A92">
              <w:rPr>
                <w:rFonts w:cs="Arial"/>
                <w:szCs w:val="22"/>
                <w:lang w:val="en-GB"/>
              </w:rPr>
              <w:t>S</w:t>
            </w:r>
            <w:r w:rsidRPr="00F96F01">
              <w:rPr>
                <w:rFonts w:cs="Arial"/>
                <w:szCs w:val="22"/>
                <w:lang w:val="en-GB"/>
              </w:rPr>
              <w:t xml:space="preserve">ection 181 of the German Civil Code </w:t>
            </w:r>
            <w:r w:rsidRPr="00F96F01">
              <w:rPr>
                <w:rFonts w:cs="Arial"/>
                <w:i/>
                <w:szCs w:val="22"/>
                <w:lang w:val="en-GB"/>
              </w:rPr>
              <w:t>(Bürgerliches Gesetzbuch</w:t>
            </w:r>
            <w:r w:rsidR="002A6A92" w:rsidRPr="002A6A92">
              <w:rPr>
                <w:rFonts w:cs="Arial"/>
                <w:szCs w:val="22"/>
                <w:lang w:val="en-GB"/>
              </w:rPr>
              <w:t xml:space="preserve"> –</w:t>
            </w:r>
            <w:r w:rsidRPr="002A6A92">
              <w:rPr>
                <w:rFonts w:cs="Arial"/>
                <w:szCs w:val="22"/>
                <w:lang w:val="en-GB"/>
              </w:rPr>
              <w:t xml:space="preserve"> </w:t>
            </w:r>
            <w:r w:rsidRPr="00F96F01">
              <w:rPr>
                <w:rFonts w:cs="Arial"/>
                <w:szCs w:val="22"/>
                <w:lang w:val="en-GB"/>
              </w:rPr>
              <w:t>BGB</w:t>
            </w:r>
            <w:r w:rsidRPr="00F96F01">
              <w:rPr>
                <w:rFonts w:cs="Arial"/>
                <w:i/>
                <w:szCs w:val="22"/>
                <w:lang w:val="en-GB"/>
              </w:rPr>
              <w:t>).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84" w:hanging="284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Die vorstehenden Absätze gelten auch für die Liquidatoren.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ind w:left="3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356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 xml:space="preserve">The </w:t>
            </w:r>
            <w:r w:rsidR="002A6A92">
              <w:rPr>
                <w:rFonts w:cs="Arial"/>
                <w:szCs w:val="22"/>
                <w:lang w:val="en-GB"/>
              </w:rPr>
              <w:t>above</w:t>
            </w:r>
            <w:r w:rsidR="002A6A92" w:rsidRPr="00F96F01">
              <w:rPr>
                <w:rFonts w:cs="Arial"/>
                <w:szCs w:val="22"/>
                <w:lang w:val="en-GB"/>
              </w:rPr>
              <w:t xml:space="preserve"> </w:t>
            </w:r>
            <w:r w:rsidRPr="00F96F01">
              <w:rPr>
                <w:rFonts w:cs="Arial"/>
                <w:szCs w:val="22"/>
                <w:lang w:val="en-GB"/>
              </w:rPr>
              <w:t xml:space="preserve">paragraphs </w:t>
            </w:r>
            <w:r w:rsidR="002A6A92">
              <w:rPr>
                <w:rFonts w:cs="Arial"/>
                <w:szCs w:val="22"/>
                <w:lang w:val="en-GB"/>
              </w:rPr>
              <w:t xml:space="preserve">shall </w:t>
            </w:r>
            <w:r w:rsidRPr="00F96F01">
              <w:rPr>
                <w:rFonts w:cs="Arial"/>
                <w:szCs w:val="22"/>
                <w:lang w:val="en-GB"/>
              </w:rPr>
              <w:t>also apply to liquidators.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E4480D">
            <w:pPr>
              <w:keepNext/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F96F01">
              <w:rPr>
                <w:rFonts w:cs="Arial"/>
                <w:b/>
                <w:bCs/>
                <w:szCs w:val="22"/>
              </w:rPr>
              <w:lastRenderedPageBreak/>
              <w:t>§ 7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F96F01">
              <w:rPr>
                <w:rFonts w:cs="Arial"/>
                <w:b/>
                <w:szCs w:val="22"/>
                <w:lang w:val="en-GB"/>
              </w:rPr>
              <w:t>§ 7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Den Gesellschaftern und den Geschäfts</w:t>
            </w:r>
            <w:r w:rsidR="00532AD9">
              <w:rPr>
                <w:rFonts w:cs="Arial"/>
                <w:szCs w:val="22"/>
              </w:rPr>
              <w:t>füh</w:t>
            </w:r>
            <w:r w:rsidRPr="00F96F01">
              <w:rPr>
                <w:rFonts w:cs="Arial"/>
                <w:szCs w:val="22"/>
              </w:rPr>
              <w:t xml:space="preserve">rern der Gesellschaft kann Befreiung von etwaigen </w:t>
            </w:r>
            <w:r w:rsidR="00532AD9">
              <w:rPr>
                <w:rFonts w:cs="Arial"/>
                <w:szCs w:val="22"/>
              </w:rPr>
              <w:t>Wettbewerbsverboten erteilt wer</w:t>
            </w:r>
            <w:r w:rsidRPr="00F96F01">
              <w:rPr>
                <w:rFonts w:cs="Arial"/>
                <w:szCs w:val="22"/>
              </w:rPr>
              <w:t>den.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>The shareholders and managing directors</w:t>
            </w:r>
            <w:r w:rsidR="00851F16">
              <w:rPr>
                <w:rFonts w:cs="Arial"/>
                <w:szCs w:val="22"/>
                <w:lang w:val="en-GB"/>
              </w:rPr>
              <w:t xml:space="preserve"> of the company</w:t>
            </w:r>
            <w:r w:rsidRPr="00F96F01">
              <w:rPr>
                <w:rFonts w:cs="Arial"/>
                <w:szCs w:val="22"/>
                <w:lang w:val="en-GB"/>
              </w:rPr>
              <w:t xml:space="preserve"> may be exempted from </w:t>
            </w:r>
            <w:r w:rsidR="00851F16">
              <w:rPr>
                <w:rFonts w:cs="Arial"/>
                <w:szCs w:val="22"/>
                <w:lang w:val="en-GB"/>
              </w:rPr>
              <w:t>any non-competition covenants</w:t>
            </w:r>
            <w:r w:rsidRPr="00F96F01">
              <w:rPr>
                <w:rFonts w:cs="Arial"/>
                <w:szCs w:val="22"/>
                <w:lang w:val="en-GB"/>
              </w:rPr>
              <w:t>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F96F01">
              <w:rPr>
                <w:rFonts w:cs="Arial"/>
                <w:b/>
                <w:bCs/>
                <w:szCs w:val="22"/>
              </w:rPr>
              <w:t>§ 8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F96F01">
              <w:rPr>
                <w:rFonts w:cs="Arial"/>
                <w:b/>
                <w:szCs w:val="22"/>
                <w:lang w:val="en-GB"/>
              </w:rPr>
              <w:t>§ 8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Die Veröffentlichungen der Gesellschaft erfolgen nur im Bundesanzeiger.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F96F01">
              <w:rPr>
                <w:rFonts w:cs="Arial"/>
                <w:szCs w:val="22"/>
                <w:lang w:val="en-GB"/>
              </w:rPr>
              <w:t xml:space="preserve">The company's </w:t>
            </w:r>
            <w:r w:rsidR="00851F16">
              <w:rPr>
                <w:rFonts w:cs="Arial"/>
                <w:szCs w:val="22"/>
                <w:lang w:val="en-GB"/>
              </w:rPr>
              <w:t>publications</w:t>
            </w:r>
            <w:r w:rsidRPr="00F96F01">
              <w:rPr>
                <w:rFonts w:cs="Arial"/>
                <w:szCs w:val="22"/>
                <w:lang w:val="en-GB"/>
              </w:rPr>
              <w:t xml:space="preserve"> </w:t>
            </w:r>
            <w:r w:rsidR="00851F16">
              <w:rPr>
                <w:rFonts w:cs="Arial"/>
                <w:szCs w:val="22"/>
                <w:lang w:val="en-GB"/>
              </w:rPr>
              <w:t>shall only be made</w:t>
            </w:r>
            <w:r w:rsidRPr="00F96F01">
              <w:rPr>
                <w:rFonts w:cs="Arial"/>
                <w:szCs w:val="22"/>
                <w:lang w:val="en-GB"/>
              </w:rPr>
              <w:t xml:space="preserve"> in the German Federal Gazette</w:t>
            </w:r>
            <w:r w:rsidRPr="00F96F01">
              <w:rPr>
                <w:rFonts w:cs="Arial"/>
                <w:i/>
                <w:szCs w:val="22"/>
                <w:lang w:val="en-GB"/>
              </w:rPr>
              <w:t>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Tr="00B67CE9"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F96F01">
              <w:rPr>
                <w:rFonts w:cs="Arial"/>
                <w:b/>
                <w:bCs/>
                <w:szCs w:val="22"/>
              </w:rPr>
              <w:t>§ 9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3C4DB2" w:rsidP="00DA163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F96F01">
              <w:rPr>
                <w:rFonts w:cs="Arial"/>
                <w:b/>
                <w:szCs w:val="22"/>
                <w:lang w:val="en-GB"/>
              </w:rPr>
              <w:t>§ 9</w:t>
            </w:r>
          </w:p>
          <w:p w:rsidR="003C4DB2" w:rsidRPr="00F96F01" w:rsidRDefault="003C4DB2" w:rsidP="00DA163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Die mit dieser Urkunde und ihrer Durch</w:t>
            </w:r>
            <w:r w:rsidR="00532AD9">
              <w:rPr>
                <w:rFonts w:cs="Arial"/>
                <w:szCs w:val="22"/>
              </w:rPr>
              <w:t>füh</w:t>
            </w:r>
            <w:r w:rsidRPr="00F96F01">
              <w:rPr>
                <w:rFonts w:cs="Arial"/>
                <w:szCs w:val="22"/>
              </w:rPr>
              <w:t>rung verbundenen Kosten (Notar-, Gerichts- und Veröf</w:t>
            </w:r>
            <w:r w:rsidR="00532AD9">
              <w:rPr>
                <w:rFonts w:cs="Arial"/>
                <w:szCs w:val="22"/>
              </w:rPr>
              <w:t>fentlichungskosten) trägt die Ge</w:t>
            </w:r>
            <w:r w:rsidRPr="00F96F01">
              <w:rPr>
                <w:rFonts w:cs="Arial"/>
                <w:szCs w:val="22"/>
              </w:rPr>
              <w:t>sellschaft bis zu einem Betrag von €</w:t>
            </w:r>
            <w:r w:rsidR="00494BBB" w:rsidRPr="00F96F01">
              <w:rPr>
                <w:rFonts w:cs="Arial"/>
                <w:szCs w:val="22"/>
              </w:rPr>
              <w:t> </w:t>
            </w:r>
            <w:r w:rsidRPr="00F96F01">
              <w:rPr>
                <w:rFonts w:cs="Arial"/>
                <w:szCs w:val="22"/>
              </w:rPr>
              <w:t>1.50</w:t>
            </w:r>
            <w:r w:rsidR="00532AD9">
              <w:rPr>
                <w:rFonts w:cs="Arial"/>
                <w:szCs w:val="22"/>
              </w:rPr>
              <w:t>0,00 (in Worten: Euro eintausend</w:t>
            </w:r>
            <w:r w:rsidRPr="00F96F01">
              <w:rPr>
                <w:rFonts w:cs="Arial"/>
                <w:szCs w:val="22"/>
              </w:rPr>
              <w:t>fünfhundert).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35" w:type="dxa"/>
          </w:tcPr>
          <w:p w:rsidR="003C4DB2" w:rsidRPr="00F96F01" w:rsidRDefault="00851F16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The costs associated with</w:t>
            </w:r>
            <w:r w:rsidR="003C4DB2" w:rsidRPr="00F96F01">
              <w:rPr>
                <w:rFonts w:cs="Arial"/>
                <w:szCs w:val="22"/>
                <w:lang w:val="en-GB"/>
              </w:rPr>
              <w:t xml:space="preserve"> this deed and its execution (notary, court and publication fees) </w:t>
            </w:r>
            <w:r w:rsidR="00D1134A">
              <w:rPr>
                <w:rFonts w:cs="Arial"/>
                <w:szCs w:val="22"/>
                <w:lang w:val="en-GB"/>
              </w:rPr>
              <w:t xml:space="preserve">shall be borne by the company </w:t>
            </w:r>
            <w:r w:rsidR="003C4DB2" w:rsidRPr="00F96F01">
              <w:rPr>
                <w:rFonts w:cs="Arial"/>
                <w:szCs w:val="22"/>
                <w:lang w:val="en-GB"/>
              </w:rPr>
              <w:t xml:space="preserve">up to an amount of </w:t>
            </w:r>
            <w:r w:rsidR="00494BBB" w:rsidRPr="00F96F01">
              <w:rPr>
                <w:rFonts w:cs="Arial"/>
                <w:szCs w:val="22"/>
                <w:lang w:val="en-GB"/>
              </w:rPr>
              <w:t>€</w:t>
            </w:r>
            <w:r w:rsidR="003C4DB2" w:rsidRPr="00F96F01">
              <w:rPr>
                <w:rFonts w:cs="Arial"/>
                <w:szCs w:val="22"/>
                <w:lang w:val="en-GB"/>
              </w:rPr>
              <w:t> 1,500.00 (</w:t>
            </w:r>
            <w:r w:rsidR="00494BBB" w:rsidRPr="00F96F01">
              <w:rPr>
                <w:rFonts w:cs="Arial"/>
                <w:szCs w:val="22"/>
                <w:lang w:val="en-GB"/>
              </w:rPr>
              <w:t xml:space="preserve">in words: </w:t>
            </w:r>
            <w:r w:rsidR="003C4DB2" w:rsidRPr="00F96F01">
              <w:rPr>
                <w:rFonts w:cs="Arial"/>
                <w:szCs w:val="22"/>
                <w:lang w:val="en-GB"/>
              </w:rPr>
              <w:t>one thousand five hundred euros).</w:t>
            </w:r>
          </w:p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3C4DB2" w:rsidRPr="00DA163C" w:rsidTr="00B67CE9">
        <w:tc>
          <w:tcPr>
            <w:tcW w:w="4535" w:type="dxa"/>
          </w:tcPr>
          <w:p w:rsidR="003C4DB2" w:rsidRPr="00F96F01" w:rsidRDefault="003C4DB2" w:rsidP="003C4DB2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F96F01">
              <w:rPr>
                <w:rFonts w:cs="Arial"/>
                <w:szCs w:val="22"/>
              </w:rPr>
              <w:t>Im Fall einer Abweichung der deutschen von der e</w:t>
            </w:r>
            <w:r w:rsidR="00532AD9">
              <w:rPr>
                <w:rFonts w:cs="Arial"/>
                <w:szCs w:val="22"/>
              </w:rPr>
              <w:t>nglischen Fassung ist ausschlie</w:t>
            </w:r>
            <w:r w:rsidR="00402571">
              <w:rPr>
                <w:rFonts w:cs="Arial"/>
                <w:szCs w:val="22"/>
              </w:rPr>
              <w:t>ß</w:t>
            </w:r>
            <w:r w:rsidRPr="00F96F01">
              <w:rPr>
                <w:rFonts w:cs="Arial"/>
                <w:szCs w:val="22"/>
              </w:rPr>
              <w:t>lich der d</w:t>
            </w:r>
            <w:r w:rsidR="00402571">
              <w:rPr>
                <w:rFonts w:cs="Arial"/>
                <w:szCs w:val="22"/>
              </w:rPr>
              <w:t>eutsche Text maßgeblich. Die eng</w:t>
            </w:r>
            <w:r w:rsidRPr="00F96F01">
              <w:rPr>
                <w:rFonts w:cs="Arial"/>
                <w:szCs w:val="22"/>
              </w:rPr>
              <w:t>lische Version dient lediglich Informationszwecken</w:t>
            </w:r>
            <w:r w:rsidR="00402571">
              <w:rPr>
                <w:rFonts w:cs="Arial"/>
                <w:szCs w:val="22"/>
              </w:rPr>
              <w:t>.</w:t>
            </w:r>
          </w:p>
        </w:tc>
        <w:tc>
          <w:tcPr>
            <w:tcW w:w="284" w:type="dxa"/>
          </w:tcPr>
          <w:p w:rsidR="003C4DB2" w:rsidRPr="00F96F01" w:rsidRDefault="003C4DB2" w:rsidP="00F96F01">
            <w:pPr>
              <w:spacing w:line="36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535" w:type="dxa"/>
          </w:tcPr>
          <w:p w:rsidR="003C4DB2" w:rsidRPr="00F96F01" w:rsidRDefault="003C4DB2" w:rsidP="00D1134A">
            <w:pPr>
              <w:spacing w:line="360" w:lineRule="auto"/>
              <w:jc w:val="both"/>
              <w:rPr>
                <w:rFonts w:cs="Arial"/>
                <w:szCs w:val="22"/>
                <w:lang w:val="en-US"/>
              </w:rPr>
            </w:pPr>
            <w:r w:rsidRPr="00F96F01">
              <w:rPr>
                <w:rFonts w:cs="Arial"/>
                <w:szCs w:val="22"/>
                <w:lang w:val="en-US"/>
              </w:rPr>
              <w:t xml:space="preserve">In </w:t>
            </w:r>
            <w:r w:rsidR="00D1134A">
              <w:rPr>
                <w:rFonts w:cs="Arial"/>
                <w:szCs w:val="22"/>
                <w:lang w:val="en-US"/>
              </w:rPr>
              <w:t>the event</w:t>
            </w:r>
            <w:r w:rsidR="00D1134A" w:rsidRPr="00F96F01">
              <w:rPr>
                <w:rFonts w:cs="Arial"/>
                <w:szCs w:val="22"/>
                <w:lang w:val="en-US"/>
              </w:rPr>
              <w:t xml:space="preserve"> </w:t>
            </w:r>
            <w:r w:rsidRPr="00F96F01">
              <w:rPr>
                <w:rFonts w:cs="Arial"/>
                <w:szCs w:val="22"/>
                <w:lang w:val="en-US"/>
              </w:rPr>
              <w:t xml:space="preserve">of </w:t>
            </w:r>
            <w:r w:rsidR="00D1134A">
              <w:rPr>
                <w:rFonts w:cs="Arial"/>
                <w:szCs w:val="22"/>
                <w:lang w:val="en-US"/>
              </w:rPr>
              <w:t xml:space="preserve">a discrepancy </w:t>
            </w:r>
            <w:r w:rsidRPr="00F96F01">
              <w:rPr>
                <w:rFonts w:cs="Arial"/>
                <w:szCs w:val="22"/>
                <w:lang w:val="en-US"/>
              </w:rPr>
              <w:t xml:space="preserve">between the </w:t>
            </w:r>
            <w:r w:rsidR="00D1134A">
              <w:rPr>
                <w:rFonts w:cs="Arial"/>
                <w:szCs w:val="22"/>
                <w:lang w:val="en-US"/>
              </w:rPr>
              <w:t>German and English versions</w:t>
            </w:r>
            <w:r w:rsidRPr="00F96F01">
              <w:rPr>
                <w:rFonts w:cs="Arial"/>
                <w:szCs w:val="22"/>
                <w:lang w:val="en-US"/>
              </w:rPr>
              <w:t xml:space="preserve">, </w:t>
            </w:r>
            <w:r w:rsidR="00D1134A">
              <w:rPr>
                <w:rFonts w:cs="Arial"/>
                <w:szCs w:val="22"/>
                <w:lang w:val="en-US"/>
              </w:rPr>
              <w:t xml:space="preserve">only </w:t>
            </w:r>
            <w:r w:rsidRPr="00F96F01">
              <w:rPr>
                <w:rFonts w:cs="Arial"/>
                <w:szCs w:val="22"/>
                <w:lang w:val="en-US"/>
              </w:rPr>
              <w:t>the German text</w:t>
            </w:r>
            <w:r w:rsidR="00D1134A">
              <w:rPr>
                <w:rFonts w:cs="Arial"/>
                <w:szCs w:val="22"/>
                <w:lang w:val="en-US"/>
              </w:rPr>
              <w:t xml:space="preserve"> is authoritative</w:t>
            </w:r>
            <w:r w:rsidRPr="00F96F01">
              <w:rPr>
                <w:rFonts w:cs="Arial"/>
                <w:szCs w:val="22"/>
                <w:lang w:val="en-US"/>
              </w:rPr>
              <w:t>. The English version is for information purposes</w:t>
            </w:r>
            <w:r w:rsidR="00D1134A">
              <w:rPr>
                <w:rFonts w:cs="Arial"/>
                <w:szCs w:val="22"/>
                <w:lang w:val="en-US"/>
              </w:rPr>
              <w:t xml:space="preserve"> only</w:t>
            </w:r>
            <w:r w:rsidRPr="00F96F01">
              <w:rPr>
                <w:rFonts w:cs="Arial"/>
                <w:szCs w:val="22"/>
                <w:lang w:val="en-US"/>
              </w:rPr>
              <w:t>.</w:t>
            </w:r>
          </w:p>
        </w:tc>
      </w:tr>
    </w:tbl>
    <w:p w:rsidR="00C75D79" w:rsidRPr="0003550C" w:rsidRDefault="00C75D79">
      <w:pPr>
        <w:spacing w:line="360" w:lineRule="auto"/>
        <w:rPr>
          <w:lang w:val="en-US"/>
        </w:rPr>
      </w:pPr>
    </w:p>
    <w:sectPr w:rsidR="00C75D79" w:rsidRPr="0003550C" w:rsidSect="008E4D8E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ED" w:rsidRDefault="008714ED" w:rsidP="008E4D8E">
      <w:r>
        <w:separator/>
      </w:r>
    </w:p>
  </w:endnote>
  <w:endnote w:type="continuationSeparator" w:id="0">
    <w:p w:rsidR="008714ED" w:rsidRDefault="008714ED" w:rsidP="008E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ED" w:rsidRDefault="008714ED" w:rsidP="008E4D8E">
      <w:r>
        <w:separator/>
      </w:r>
    </w:p>
  </w:footnote>
  <w:footnote w:type="continuationSeparator" w:id="0">
    <w:p w:rsidR="008714ED" w:rsidRDefault="008714ED" w:rsidP="008E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8E" w:rsidRDefault="008E4D8E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ED7780">
      <w:rPr>
        <w:noProof/>
      </w:rPr>
      <w:t>2</w:t>
    </w:r>
    <w:r>
      <w:fldChar w:fldCharType="end"/>
    </w:r>
  </w:p>
  <w:p w:rsidR="008E4D8E" w:rsidRDefault="008E4D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A65"/>
    <w:multiLevelType w:val="hybridMultilevel"/>
    <w:tmpl w:val="1520B78C"/>
    <w:lvl w:ilvl="0" w:tplc="EED4C8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2DC6794"/>
    <w:multiLevelType w:val="hybridMultilevel"/>
    <w:tmpl w:val="D98449B8"/>
    <w:lvl w:ilvl="0" w:tplc="A392C8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C24A08"/>
    <w:multiLevelType w:val="hybridMultilevel"/>
    <w:tmpl w:val="BDC012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A74FA7"/>
    <w:multiLevelType w:val="hybridMultilevel"/>
    <w:tmpl w:val="EFC622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2C2C94"/>
    <w:multiLevelType w:val="hybridMultilevel"/>
    <w:tmpl w:val="A64EA5AA"/>
    <w:lvl w:ilvl="0" w:tplc="DFA8D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EC4A5E"/>
    <w:multiLevelType w:val="hybridMultilevel"/>
    <w:tmpl w:val="72CA134E"/>
    <w:lvl w:ilvl="0" w:tplc="B22842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CE5652"/>
    <w:multiLevelType w:val="hybridMultilevel"/>
    <w:tmpl w:val="8AD6BC4E"/>
    <w:lvl w:ilvl="0" w:tplc="8DA446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4913A9"/>
    <w:multiLevelType w:val="hybridMultilevel"/>
    <w:tmpl w:val="1520B78C"/>
    <w:lvl w:ilvl="0" w:tplc="EED4C8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73F67547"/>
    <w:multiLevelType w:val="hybridMultilevel"/>
    <w:tmpl w:val="CF78C808"/>
    <w:lvl w:ilvl="0" w:tplc="2B8021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0C323D"/>
    <w:multiLevelType w:val="hybridMultilevel"/>
    <w:tmpl w:val="2B48E9B8"/>
    <w:lvl w:ilvl="0" w:tplc="7A76A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13279D"/>
    <w:multiLevelType w:val="hybridMultilevel"/>
    <w:tmpl w:val="E53E4038"/>
    <w:lvl w:ilvl="0" w:tplc="C1F68E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FC2AAB"/>
    <w:multiLevelType w:val="hybridMultilevel"/>
    <w:tmpl w:val="D6C49F5C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18C"/>
    <w:rsid w:val="0003550C"/>
    <w:rsid w:val="00090836"/>
    <w:rsid w:val="00184000"/>
    <w:rsid w:val="001C5B16"/>
    <w:rsid w:val="0026449C"/>
    <w:rsid w:val="002A6A92"/>
    <w:rsid w:val="00301CCB"/>
    <w:rsid w:val="003441E8"/>
    <w:rsid w:val="00386E2F"/>
    <w:rsid w:val="003A2ADC"/>
    <w:rsid w:val="003C4DB2"/>
    <w:rsid w:val="00402571"/>
    <w:rsid w:val="00494BBB"/>
    <w:rsid w:val="00532AD9"/>
    <w:rsid w:val="00536103"/>
    <w:rsid w:val="005C494F"/>
    <w:rsid w:val="00683A97"/>
    <w:rsid w:val="006B4DFA"/>
    <w:rsid w:val="007011D5"/>
    <w:rsid w:val="00810B72"/>
    <w:rsid w:val="008273CC"/>
    <w:rsid w:val="00851F16"/>
    <w:rsid w:val="008714ED"/>
    <w:rsid w:val="008A7E4E"/>
    <w:rsid w:val="008C3FC6"/>
    <w:rsid w:val="008E4D8E"/>
    <w:rsid w:val="0095182D"/>
    <w:rsid w:val="009B2044"/>
    <w:rsid w:val="009C456A"/>
    <w:rsid w:val="00B67CE9"/>
    <w:rsid w:val="00BD6528"/>
    <w:rsid w:val="00BE2C85"/>
    <w:rsid w:val="00C01DB9"/>
    <w:rsid w:val="00C75D79"/>
    <w:rsid w:val="00CB096B"/>
    <w:rsid w:val="00CC6F6B"/>
    <w:rsid w:val="00D1134A"/>
    <w:rsid w:val="00D400D7"/>
    <w:rsid w:val="00D87AD2"/>
    <w:rsid w:val="00DA163C"/>
    <w:rsid w:val="00E4480D"/>
    <w:rsid w:val="00E6718C"/>
    <w:rsid w:val="00E904C8"/>
    <w:rsid w:val="00ED7780"/>
    <w:rsid w:val="00EE40F5"/>
    <w:rsid w:val="00EF4BA8"/>
    <w:rsid w:val="00F15339"/>
    <w:rsid w:val="00F93473"/>
    <w:rsid w:val="00F9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E8D249-B540-4A41-9E95-CE85477F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03550C"/>
    <w:rPr>
      <w:rFonts w:ascii="Arial" w:hAnsi="Arial"/>
      <w:b/>
      <w:kern w:val="32"/>
      <w:sz w:val="32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line="360" w:lineRule="auto"/>
      <w:ind w:left="360" w:hanging="360"/>
    </w:pPr>
    <w:rPr>
      <w:rFonts w:cs="Arial"/>
    </w:rPr>
  </w:style>
  <w:style w:type="character" w:customStyle="1" w:styleId="Textkrper-ZeileneinzugZchn">
    <w:name w:val="Textkörper-Zeileneinzug Zchn"/>
    <w:link w:val="Textkrper-Zeileneinzug"/>
    <w:uiPriority w:val="99"/>
    <w:locked/>
    <w:rsid w:val="0003550C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03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8E4D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4D8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8E4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E4D8E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810B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810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Notarverein e.V.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MP</cp:lastModifiedBy>
  <cp:revision>28</cp:revision>
  <cp:lastPrinted>2017-03-02T11:20:00Z</cp:lastPrinted>
  <dcterms:created xsi:type="dcterms:W3CDTF">2014-05-15T16:23:00Z</dcterms:created>
  <dcterms:modified xsi:type="dcterms:W3CDTF">2025-01-01T12:34:00Z</dcterms:modified>
</cp:coreProperties>
</file>